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FB2D" w14:textId="00B7E573" w:rsidR="001F0C50" w:rsidRDefault="001F0C50">
      <w:pPr>
        <w:pStyle w:val="Default"/>
        <w:ind w:firstLine="708"/>
        <w:jc w:val="both"/>
      </w:pPr>
      <w:r>
        <w:rPr>
          <w:noProof/>
        </w:rPr>
        <w:drawing>
          <wp:inline distT="0" distB="0" distL="0" distR="0" wp14:anchorId="29EA183D" wp14:editId="0E6247BC">
            <wp:extent cx="5426075" cy="96837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96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5BCF" w14:textId="77777777" w:rsidR="00E74BAB" w:rsidRDefault="00E74BAB">
      <w:pPr>
        <w:pStyle w:val="Default"/>
        <w:ind w:firstLine="708"/>
        <w:jc w:val="both"/>
      </w:pPr>
    </w:p>
    <w:p w14:paraId="3C5BEEAD" w14:textId="77777777" w:rsidR="00E74BAB" w:rsidRDefault="00E74BAB">
      <w:pPr>
        <w:pStyle w:val="Default"/>
        <w:ind w:firstLine="708"/>
        <w:jc w:val="both"/>
      </w:pPr>
    </w:p>
    <w:p w14:paraId="0F28D63E" w14:textId="77777777" w:rsidR="00E74BAB" w:rsidRDefault="00E74BAB">
      <w:pPr>
        <w:pStyle w:val="Default"/>
        <w:ind w:firstLine="708"/>
        <w:jc w:val="both"/>
      </w:pPr>
    </w:p>
    <w:p w14:paraId="6C05C698" w14:textId="77777777" w:rsidR="00E74BAB" w:rsidRDefault="00E74BAB">
      <w:pPr>
        <w:pStyle w:val="Default"/>
        <w:ind w:firstLine="708"/>
        <w:jc w:val="both"/>
      </w:pPr>
    </w:p>
    <w:p w14:paraId="10EA499D" w14:textId="77777777" w:rsidR="00E74BAB" w:rsidRDefault="00E74BAB">
      <w:pPr>
        <w:pStyle w:val="Default"/>
        <w:ind w:firstLine="708"/>
        <w:jc w:val="both"/>
      </w:pPr>
    </w:p>
    <w:p w14:paraId="0E8CF877" w14:textId="77777777" w:rsidR="00E74BAB" w:rsidRDefault="00E74BAB">
      <w:pPr>
        <w:pStyle w:val="Default"/>
        <w:ind w:firstLine="708"/>
        <w:jc w:val="both"/>
      </w:pPr>
    </w:p>
    <w:p w14:paraId="6CBC30DC" w14:textId="0716BE3E" w:rsidR="00CD517D" w:rsidRDefault="005C5EA7">
      <w:pPr>
        <w:pStyle w:val="Default"/>
        <w:ind w:firstLine="708"/>
        <w:jc w:val="both"/>
      </w:pPr>
      <w:r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(ОГЭ).</w:t>
      </w:r>
    </w:p>
    <w:p w14:paraId="0AAB6AAD" w14:textId="77777777" w:rsidR="00CD517D" w:rsidRDefault="00CD517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820F9" w14:textId="77777777" w:rsidR="00CD517D" w:rsidRDefault="005C5EA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была создана информационная среда по подготовке и проведению ГИА, оформлены стенды для родителей и обучающихся.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 учащихся и их родителей (законных представителей) по вопросам ГИА происходило через систему  общешкольных родительских собраний.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и их родители (законные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представители)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ознакомлены с адресами сайтов, содержащими информацию о ГИА.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14:paraId="3785DE27" w14:textId="77777777" w:rsidR="00CD517D" w:rsidRDefault="005C5EA7">
      <w:pPr>
        <w:pStyle w:val="Default"/>
        <w:ind w:firstLine="708"/>
        <w:jc w:val="both"/>
      </w:pPr>
      <w:r>
        <w:t xml:space="preserve">Заместителем директора, учителями-предметниками, классными руководителями проводилась систематические инструктажи выпускников по следующим направлениям: </w:t>
      </w:r>
    </w:p>
    <w:p w14:paraId="25A85503" w14:textId="77777777" w:rsidR="00CD517D" w:rsidRDefault="005C5EA7">
      <w:pPr>
        <w:pStyle w:val="Default"/>
        <w:jc w:val="both"/>
      </w:pPr>
      <w:r>
        <w:t xml:space="preserve">-информационная готовность; </w:t>
      </w:r>
    </w:p>
    <w:p w14:paraId="45D21B92" w14:textId="77777777" w:rsidR="00CD517D" w:rsidRDefault="005C5EA7">
      <w:pPr>
        <w:pStyle w:val="Default"/>
        <w:jc w:val="both"/>
      </w:pPr>
      <w:r>
        <w:t xml:space="preserve">-предметная готовность (качество подготовки по предметам, умения работать с </w:t>
      </w:r>
      <w:proofErr w:type="spellStart"/>
      <w:r>
        <w:t>КИМами</w:t>
      </w:r>
      <w:proofErr w:type="spellEnd"/>
      <w:r>
        <w:t xml:space="preserve">, демоверсиями); </w:t>
      </w:r>
    </w:p>
    <w:p w14:paraId="287894D2" w14:textId="77777777" w:rsidR="00CD517D" w:rsidRDefault="005C5EA7">
      <w:pPr>
        <w:pStyle w:val="Default"/>
        <w:jc w:val="both"/>
      </w:pPr>
      <w: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14:paraId="34F1FB88" w14:textId="77777777" w:rsidR="00CD517D" w:rsidRDefault="005C5EA7">
      <w:pPr>
        <w:pStyle w:val="Default"/>
        <w:ind w:firstLine="708"/>
        <w:jc w:val="both"/>
      </w:pPr>
      <w:r>
        <w:t xml:space="preserve">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ОГЭ, корректировалось календарно-тематическое планирование рабочих программ. </w:t>
      </w:r>
    </w:p>
    <w:p w14:paraId="424B4F92" w14:textId="77777777" w:rsidR="00CD517D" w:rsidRDefault="005C5EA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сведений родителей классными руководителями 9-х и 11-х классов школы доводились результаты диагностических, контрольных, административных работ, срезов по предметам.</w:t>
      </w:r>
    </w:p>
    <w:p w14:paraId="5E387299" w14:textId="77777777" w:rsidR="00CD517D" w:rsidRDefault="005C5E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проведению.</w:t>
      </w:r>
    </w:p>
    <w:p w14:paraId="36913A43" w14:textId="77777777" w:rsidR="00CD517D" w:rsidRDefault="005C5EA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14:paraId="7C74FEA4" w14:textId="77777777" w:rsidR="00CD517D" w:rsidRDefault="005C5EA7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-итоги государственной итоговой аттестации выпускников;</w:t>
      </w:r>
    </w:p>
    <w:p w14:paraId="2F59E5C5" w14:textId="77777777" w:rsidR="00CD517D" w:rsidRDefault="005C5EA7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-результаты </w:t>
      </w:r>
      <w:proofErr w:type="gramStart"/>
      <w:r>
        <w:rPr>
          <w:rFonts w:ascii="Times New Roman" w:hAnsi="Times New Roman"/>
          <w:sz w:val="24"/>
          <w:szCs w:val="24"/>
        </w:rPr>
        <w:t>обязательных  экзаменов</w:t>
      </w:r>
      <w:proofErr w:type="gramEnd"/>
      <w:r>
        <w:rPr>
          <w:rFonts w:ascii="Times New Roman" w:hAnsi="Times New Roman"/>
          <w:sz w:val="24"/>
          <w:szCs w:val="24"/>
        </w:rPr>
        <w:t xml:space="preserve"> ( русский язык и математика);</w:t>
      </w:r>
    </w:p>
    <w:p w14:paraId="26D08AB6" w14:textId="77777777" w:rsidR="00CD517D" w:rsidRDefault="005C5EA7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-результаты предметов по выбору;</w:t>
      </w:r>
    </w:p>
    <w:p w14:paraId="29664149" w14:textId="77777777" w:rsidR="00CD517D" w:rsidRDefault="005C5EA7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 уровня подготовки и проведения государственной итоговой аттестации;</w:t>
      </w:r>
    </w:p>
    <w:p w14:paraId="52E346D7" w14:textId="77777777" w:rsidR="00CD517D" w:rsidRDefault="005C5EA7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-сравнение результатов обучения выпускников по итогам года и результатам экзаменов.</w:t>
      </w:r>
    </w:p>
    <w:p w14:paraId="74217E38" w14:textId="77777777" w:rsidR="00CD517D" w:rsidRDefault="005C5EA7">
      <w:pPr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3F41B8F" w14:textId="77777777" w:rsidR="00CD517D" w:rsidRDefault="005C5EA7">
      <w:pPr>
        <w:pStyle w:val="Default"/>
        <w:jc w:val="center"/>
      </w:pPr>
      <w:r>
        <w:rPr>
          <w:b/>
          <w:bCs/>
        </w:rPr>
        <w:t>Мониторинговая деятельность проводилась по нескольким направлениям:</w:t>
      </w:r>
    </w:p>
    <w:p w14:paraId="06D2287A" w14:textId="77777777" w:rsidR="00CD517D" w:rsidRDefault="005C5EA7">
      <w:pPr>
        <w:pStyle w:val="Default"/>
        <w:jc w:val="both"/>
      </w:pPr>
      <w:r>
        <w:t xml:space="preserve">1. Мониторинг уровня качества обученности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малых педагогических советах и административных совещаниях. Эти </w:t>
      </w:r>
      <w:r>
        <w:lastRenderedPageBreak/>
        <w:t xml:space="preserve">данные использовались педагогами для прогнозирования дальнейших действий по улучшению качества преподавания. </w:t>
      </w:r>
    </w:p>
    <w:p w14:paraId="47677689" w14:textId="77777777" w:rsidR="00CD517D" w:rsidRDefault="005C5EA7">
      <w:pPr>
        <w:pStyle w:val="Default"/>
        <w:jc w:val="both"/>
      </w:pPr>
      <w:r>
        <w:t xml:space="preserve">2. 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14:paraId="673B31AB" w14:textId="77777777" w:rsidR="00CD517D" w:rsidRDefault="005C5EA7">
      <w:pPr>
        <w:pStyle w:val="Default"/>
        <w:jc w:val="both"/>
      </w:pPr>
      <w:r>
        <w:t xml:space="preserve">3. Контроль выполнения программного материала по предметам учебного плана, в том числе практической части рабочих программ учителей. </w:t>
      </w:r>
    </w:p>
    <w:p w14:paraId="64ED6D65" w14:textId="77777777" w:rsidR="00CD517D" w:rsidRDefault="005C5E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учащихся 9-х и 11-х классов.</w:t>
      </w:r>
    </w:p>
    <w:p w14:paraId="038ABAB3" w14:textId="77777777" w:rsidR="00CD517D" w:rsidRDefault="00CD517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913EE" w14:textId="77777777" w:rsidR="00CD517D" w:rsidRDefault="005C5EA7">
      <w:pPr>
        <w:pStyle w:val="ab"/>
        <w:tabs>
          <w:tab w:val="left" w:pos="0"/>
        </w:tabs>
        <w:ind w:firstLine="567"/>
        <w:contextualSpacing/>
        <w:jc w:val="both"/>
        <w:rPr>
          <w:b w:val="0"/>
          <w:bCs/>
        </w:rPr>
      </w:pPr>
      <w:r>
        <w:t xml:space="preserve">     </w:t>
      </w:r>
      <w:r>
        <w:rPr>
          <w:szCs w:val="24"/>
        </w:rPr>
        <w:t xml:space="preserve">ГИА включает обязательные экзамены по математике и русскому языку, экзамены по другим двум учебным предметам выпускники не сдавали в связи с </w:t>
      </w:r>
      <w:proofErr w:type="spellStart"/>
      <w:proofErr w:type="gramStart"/>
      <w:r>
        <w:rPr>
          <w:szCs w:val="24"/>
        </w:rPr>
        <w:t>эпидем.ситуацией</w:t>
      </w:r>
      <w:proofErr w:type="spellEnd"/>
      <w:proofErr w:type="gramEnd"/>
      <w:r>
        <w:rPr>
          <w:szCs w:val="24"/>
        </w:rPr>
        <w:t xml:space="preserve"> в стране.</w:t>
      </w:r>
      <w:r>
        <w:rPr>
          <w:bCs/>
        </w:rPr>
        <w:t xml:space="preserve"> </w:t>
      </w:r>
    </w:p>
    <w:p w14:paraId="4EEE866C" w14:textId="77777777" w:rsidR="00CD517D" w:rsidRDefault="00CD517D">
      <w:pPr>
        <w:spacing w:before="60" w:after="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7CBE8" w14:textId="77777777" w:rsidR="00CD517D" w:rsidRDefault="005C5EA7">
      <w:pPr>
        <w:spacing w:before="60" w:after="75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результатов ГИА по основным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9-х классах за три года.</w:t>
      </w: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417"/>
        <w:gridCol w:w="1276"/>
        <w:gridCol w:w="1276"/>
        <w:gridCol w:w="1275"/>
        <w:gridCol w:w="1525"/>
      </w:tblGrid>
      <w:tr w:rsidR="00CD517D" w14:paraId="69734ACA" w14:textId="77777777">
        <w:tc>
          <w:tcPr>
            <w:tcW w:w="1418" w:type="dxa"/>
          </w:tcPr>
          <w:p w14:paraId="5346419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shd w:val="clear" w:color="auto" w:fill="EAF1DD" w:themeFill="accent3" w:themeFillTint="33"/>
          </w:tcPr>
          <w:p w14:paraId="49504F65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  <w:gridSpan w:val="3"/>
            <w:shd w:val="clear" w:color="auto" w:fill="EAF1DD" w:themeFill="accent3" w:themeFillTint="33"/>
          </w:tcPr>
          <w:p w14:paraId="2902BF58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D517D" w14:paraId="56C734A6" w14:textId="77777777">
        <w:tc>
          <w:tcPr>
            <w:tcW w:w="1418" w:type="dxa"/>
          </w:tcPr>
          <w:p w14:paraId="07090D97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5B040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14:paraId="1BB6D79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14:paraId="50797B2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14:paraId="5F77189E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</w:tcPr>
          <w:p w14:paraId="76F84E7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25" w:type="dxa"/>
          </w:tcPr>
          <w:p w14:paraId="2EE65E9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D517D" w14:paraId="21C89BE7" w14:textId="77777777">
        <w:tc>
          <w:tcPr>
            <w:tcW w:w="1418" w:type="dxa"/>
          </w:tcPr>
          <w:p w14:paraId="333B98D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84" w:type="dxa"/>
          </w:tcPr>
          <w:p w14:paraId="1062AC4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478AAB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38FBE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2592B4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179FAE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1F9B3EE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17D" w14:paraId="336007AC" w14:textId="77777777">
        <w:tc>
          <w:tcPr>
            <w:tcW w:w="1418" w:type="dxa"/>
          </w:tcPr>
          <w:p w14:paraId="2811B60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1384" w:type="dxa"/>
          </w:tcPr>
          <w:p w14:paraId="4A81CEF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E979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9D02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405D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920657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0A18A4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0C3736FC" w14:textId="77777777">
        <w:tc>
          <w:tcPr>
            <w:tcW w:w="1418" w:type="dxa"/>
          </w:tcPr>
          <w:p w14:paraId="06131EE4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2694B64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222E3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52EA8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FD6B34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406A26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2D9019B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17D" w14:paraId="576B071F" w14:textId="77777777">
        <w:tc>
          <w:tcPr>
            <w:tcW w:w="1418" w:type="dxa"/>
          </w:tcPr>
          <w:p w14:paraId="3D45092F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C7E2D4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9C21D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CBD4A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DAAF64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2B7885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5F65D6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3FFF733D" w14:textId="77777777">
        <w:tc>
          <w:tcPr>
            <w:tcW w:w="1418" w:type="dxa"/>
          </w:tcPr>
          <w:p w14:paraId="3FFD1903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6BB55F6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818FD8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C3167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416E5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33697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2861838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17D" w14:paraId="1417EE67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45F4B08B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725A5F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5D4DB9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B8D3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E677F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94FC8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8A95B1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02842975" w14:textId="77777777">
        <w:tc>
          <w:tcPr>
            <w:tcW w:w="1418" w:type="dxa"/>
            <w:shd w:val="clear" w:color="auto" w:fill="EAF1DD" w:themeFill="accent3" w:themeFillTint="33"/>
          </w:tcPr>
          <w:p w14:paraId="75219AB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84" w:type="dxa"/>
            <w:shd w:val="clear" w:color="auto" w:fill="EAF1DD" w:themeFill="accent3" w:themeFillTint="33"/>
          </w:tcPr>
          <w:p w14:paraId="253857C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7D8B973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F3464A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807497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5A9952F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14:paraId="47116CB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3372ED8" w14:textId="77777777" w:rsidR="00CD517D" w:rsidRDefault="00CD517D">
      <w:pPr>
        <w:pStyle w:val="ae"/>
        <w:jc w:val="center"/>
        <w:rPr>
          <w:b/>
          <w:szCs w:val="24"/>
        </w:rPr>
      </w:pPr>
    </w:p>
    <w:p w14:paraId="170CD6EF" w14:textId="77777777" w:rsidR="00CD517D" w:rsidRDefault="00CD517D">
      <w:pPr>
        <w:spacing w:before="60" w:after="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9E5DB9" w14:textId="77777777" w:rsidR="00CD517D" w:rsidRDefault="005C5EA7">
      <w:pPr>
        <w:spacing w:before="60" w:after="75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результатов ГИА по выборным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9-х классах за три года.</w:t>
      </w:r>
    </w:p>
    <w:p w14:paraId="707E664F" w14:textId="77777777" w:rsidR="00CD517D" w:rsidRDefault="00CD517D">
      <w:pPr>
        <w:pStyle w:val="ae"/>
        <w:jc w:val="center"/>
        <w:rPr>
          <w:b/>
          <w:szCs w:val="24"/>
        </w:rPr>
      </w:pP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417"/>
        <w:gridCol w:w="1276"/>
        <w:gridCol w:w="1276"/>
        <w:gridCol w:w="1275"/>
        <w:gridCol w:w="1525"/>
      </w:tblGrid>
      <w:tr w:rsidR="00CD517D" w14:paraId="705FF3EF" w14:textId="77777777">
        <w:tc>
          <w:tcPr>
            <w:tcW w:w="1418" w:type="dxa"/>
          </w:tcPr>
          <w:p w14:paraId="3C27D850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shd w:val="clear" w:color="auto" w:fill="EAF1DD" w:themeFill="accent3" w:themeFillTint="33"/>
          </w:tcPr>
          <w:p w14:paraId="5FA25964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  <w:gridSpan w:val="3"/>
            <w:shd w:val="clear" w:color="auto" w:fill="EAF1DD" w:themeFill="accent3" w:themeFillTint="33"/>
          </w:tcPr>
          <w:p w14:paraId="724C337B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CD517D" w14:paraId="577C0685" w14:textId="77777777">
        <w:tc>
          <w:tcPr>
            <w:tcW w:w="1418" w:type="dxa"/>
          </w:tcPr>
          <w:p w14:paraId="2C1E1A9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9EE51E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14:paraId="66C8858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14:paraId="35B73C8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14:paraId="5199A829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</w:tcPr>
          <w:p w14:paraId="0ED511A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25" w:type="dxa"/>
          </w:tcPr>
          <w:p w14:paraId="1F13D91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D517D" w14:paraId="665044D8" w14:textId="77777777">
        <w:tc>
          <w:tcPr>
            <w:tcW w:w="1418" w:type="dxa"/>
          </w:tcPr>
          <w:p w14:paraId="4C12FAE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84" w:type="dxa"/>
          </w:tcPr>
          <w:p w14:paraId="0F2F460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39F696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9B072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76E5D9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009AF2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E90DBE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622642D9" w14:textId="77777777">
        <w:tc>
          <w:tcPr>
            <w:tcW w:w="1418" w:type="dxa"/>
          </w:tcPr>
          <w:p w14:paraId="306DEE8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1384" w:type="dxa"/>
          </w:tcPr>
          <w:p w14:paraId="0463789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54B3B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4209B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38BA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62AD50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D9FAFC1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79CA4D54" w14:textId="77777777">
        <w:tc>
          <w:tcPr>
            <w:tcW w:w="1418" w:type="dxa"/>
          </w:tcPr>
          <w:p w14:paraId="70DF6076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448482B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972CB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49AABC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CBD394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24B2AE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14:paraId="58BA2FD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17D" w14:paraId="0226C5CF" w14:textId="77777777">
        <w:tc>
          <w:tcPr>
            <w:tcW w:w="1418" w:type="dxa"/>
          </w:tcPr>
          <w:p w14:paraId="610583E1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BA12C0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22C17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D65B40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1B90FD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3A0AE8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6533BB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17D" w14:paraId="2B59B4CC" w14:textId="77777777">
        <w:tc>
          <w:tcPr>
            <w:tcW w:w="1418" w:type="dxa"/>
          </w:tcPr>
          <w:p w14:paraId="247F4003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0C7743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EC1D9D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DCDE21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6885C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AE0AD7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386C3C7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4DCCA59F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2B79B5BA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73D5C3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0773F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F77C7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6E45C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78DD9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DDA611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17D" w14:paraId="18AFB56E" w14:textId="77777777">
        <w:tc>
          <w:tcPr>
            <w:tcW w:w="1418" w:type="dxa"/>
            <w:shd w:val="clear" w:color="auto" w:fill="EAF1DD" w:themeFill="accent3" w:themeFillTint="33"/>
          </w:tcPr>
          <w:p w14:paraId="3EFAA9E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84" w:type="dxa"/>
            <w:shd w:val="clear" w:color="auto" w:fill="EAF1DD" w:themeFill="accent3" w:themeFillTint="33"/>
          </w:tcPr>
          <w:p w14:paraId="3155581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32213B4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FEBF33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9DEC924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52D7587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14:paraId="2A68FC9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7CFFEC0" w14:textId="77777777" w:rsidR="00CD517D" w:rsidRDefault="00CD517D">
      <w:pPr>
        <w:pStyle w:val="ae"/>
        <w:jc w:val="center"/>
        <w:rPr>
          <w:b/>
          <w:szCs w:val="24"/>
        </w:rPr>
      </w:pPr>
    </w:p>
    <w:p w14:paraId="716CD1A8" w14:textId="77777777" w:rsidR="00CD517D" w:rsidRDefault="00CD517D">
      <w:pPr>
        <w:pStyle w:val="ae"/>
        <w:jc w:val="center"/>
        <w:rPr>
          <w:b/>
          <w:szCs w:val="24"/>
        </w:rPr>
      </w:pPr>
    </w:p>
    <w:p w14:paraId="76B405ED" w14:textId="77777777" w:rsidR="00CD517D" w:rsidRDefault="00CD517D">
      <w:pPr>
        <w:pStyle w:val="ae"/>
        <w:jc w:val="center"/>
        <w:rPr>
          <w:b/>
          <w:szCs w:val="24"/>
        </w:rPr>
      </w:pPr>
    </w:p>
    <w:p w14:paraId="73544483" w14:textId="77777777" w:rsidR="00CD517D" w:rsidRDefault="00CD517D">
      <w:pPr>
        <w:pStyle w:val="ae"/>
        <w:jc w:val="center"/>
        <w:rPr>
          <w:b/>
          <w:szCs w:val="24"/>
        </w:rPr>
      </w:pPr>
    </w:p>
    <w:p w14:paraId="02D559B1" w14:textId="77777777" w:rsidR="00CD517D" w:rsidRDefault="00CD517D">
      <w:pPr>
        <w:pStyle w:val="ae"/>
        <w:jc w:val="center"/>
        <w:rPr>
          <w:b/>
          <w:szCs w:val="24"/>
        </w:rPr>
      </w:pP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417"/>
        <w:gridCol w:w="1276"/>
        <w:gridCol w:w="1276"/>
        <w:gridCol w:w="1275"/>
        <w:gridCol w:w="1525"/>
      </w:tblGrid>
      <w:tr w:rsidR="00CD517D" w14:paraId="4C4E8E1E" w14:textId="77777777">
        <w:tc>
          <w:tcPr>
            <w:tcW w:w="1418" w:type="dxa"/>
          </w:tcPr>
          <w:p w14:paraId="4DDE97C4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shd w:val="clear" w:color="auto" w:fill="EAF1DD" w:themeFill="accent3" w:themeFillTint="33"/>
          </w:tcPr>
          <w:p w14:paraId="6F712A72" w14:textId="77777777" w:rsidR="00CD517D" w:rsidRDefault="005C5EA7">
            <w:pPr>
              <w:spacing w:before="60" w:after="75"/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  <w:gridSpan w:val="3"/>
            <w:shd w:val="clear" w:color="auto" w:fill="EAF1DD" w:themeFill="accent3" w:themeFillTint="33"/>
          </w:tcPr>
          <w:p w14:paraId="63764C00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D517D" w14:paraId="5CBF7052" w14:textId="77777777">
        <w:tc>
          <w:tcPr>
            <w:tcW w:w="1418" w:type="dxa"/>
          </w:tcPr>
          <w:p w14:paraId="7CAEE0D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BF5D24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14:paraId="0090029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14:paraId="2FBF77A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14:paraId="5F5E08A0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</w:tcPr>
          <w:p w14:paraId="357DC7F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25" w:type="dxa"/>
          </w:tcPr>
          <w:p w14:paraId="356E1F9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D517D" w14:paraId="140C3F65" w14:textId="77777777">
        <w:tc>
          <w:tcPr>
            <w:tcW w:w="1418" w:type="dxa"/>
          </w:tcPr>
          <w:p w14:paraId="3744F30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84" w:type="dxa"/>
          </w:tcPr>
          <w:p w14:paraId="6B2C02F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7AE37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756AB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8B5BC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B4B9ED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2F1A03B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07F0387C" w14:textId="77777777">
        <w:tc>
          <w:tcPr>
            <w:tcW w:w="1418" w:type="dxa"/>
          </w:tcPr>
          <w:p w14:paraId="34E8D1F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1384" w:type="dxa"/>
          </w:tcPr>
          <w:p w14:paraId="62CBED7C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29872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F248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A3EF1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3D77D9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82B809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4969EA66" w14:textId="77777777">
        <w:tc>
          <w:tcPr>
            <w:tcW w:w="1418" w:type="dxa"/>
          </w:tcPr>
          <w:p w14:paraId="25B39F8D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76FCA80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5C7238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A9FB9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25564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26C934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14:paraId="3A5AD35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17D" w14:paraId="6FCCA89A" w14:textId="77777777">
        <w:tc>
          <w:tcPr>
            <w:tcW w:w="1418" w:type="dxa"/>
          </w:tcPr>
          <w:p w14:paraId="7F521D53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C3BE3E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0A3CEC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41177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72E024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B1A33A9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14:paraId="773CBA8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17D" w14:paraId="0EAD27E9" w14:textId="77777777">
        <w:tc>
          <w:tcPr>
            <w:tcW w:w="1418" w:type="dxa"/>
          </w:tcPr>
          <w:p w14:paraId="196D1AF4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9AFB1A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43DF65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81FDEF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9BA6E0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01B950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14:paraId="4D31E864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17D" w14:paraId="4ECB0763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23E0D87C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3DDC16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224C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5A9AC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F070B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215E6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2F25D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2E616FD9" w14:textId="77777777">
        <w:tc>
          <w:tcPr>
            <w:tcW w:w="1418" w:type="dxa"/>
            <w:shd w:val="clear" w:color="auto" w:fill="EAF1DD" w:themeFill="accent3" w:themeFillTint="33"/>
          </w:tcPr>
          <w:p w14:paraId="5DE744F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84" w:type="dxa"/>
            <w:shd w:val="clear" w:color="auto" w:fill="EAF1DD" w:themeFill="accent3" w:themeFillTint="33"/>
          </w:tcPr>
          <w:p w14:paraId="0C4EB0E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41E60FB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1F6ED3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8F69D0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57F438F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14:paraId="4F3B3B5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B0CA47B" w14:textId="77777777" w:rsidR="00CD517D" w:rsidRDefault="00CD517D">
      <w:pPr>
        <w:pStyle w:val="ae"/>
        <w:jc w:val="center"/>
        <w:rPr>
          <w:b/>
          <w:szCs w:val="24"/>
        </w:rPr>
      </w:pPr>
    </w:p>
    <w:p w14:paraId="5F0EFBEA" w14:textId="77777777" w:rsidR="00CD517D" w:rsidRDefault="00CD517D">
      <w:pPr>
        <w:pStyle w:val="ae"/>
        <w:jc w:val="center"/>
        <w:rPr>
          <w:b/>
          <w:szCs w:val="24"/>
        </w:rPr>
      </w:pPr>
    </w:p>
    <w:p w14:paraId="5CE33C50" w14:textId="77777777" w:rsidR="00CD517D" w:rsidRDefault="005C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48DB004" w14:textId="77777777" w:rsidR="00CD517D" w:rsidRDefault="005C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Выводы:  </w:t>
      </w:r>
    </w:p>
    <w:p w14:paraId="1AA652F6" w14:textId="77777777" w:rsidR="00CD517D" w:rsidRDefault="005C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Государственная итоговая аттестация обучающихся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14:paraId="79C9621C" w14:textId="77777777" w:rsidR="00CD517D" w:rsidRDefault="005C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2.Администрацией школы была проведена систематическая работа по подготовке и проведению государственной итоговой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5B599" w14:textId="77777777" w:rsidR="00CD517D" w:rsidRDefault="005C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14:paraId="64D477EF" w14:textId="77777777" w:rsidR="00CD517D" w:rsidRPr="001F0C50" w:rsidRDefault="00CD5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A055C" w14:textId="77777777" w:rsidR="00CD517D" w:rsidRDefault="005C5EA7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анализ ГИА основного общего образования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17D" w14:paraId="1AE92021" w14:textId="77777777">
        <w:tc>
          <w:tcPr>
            <w:tcW w:w="4785" w:type="dxa"/>
          </w:tcPr>
          <w:p w14:paraId="097C65BA" w14:textId="77777777" w:rsidR="00CD517D" w:rsidRDefault="005C5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Сильные стороны</w:t>
            </w:r>
          </w:p>
          <w:p w14:paraId="0457591B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-материально-техническая база позволяет использовать различные приемы и методы при обучении выпускников;</w:t>
            </w:r>
          </w:p>
          <w:p w14:paraId="26020DB1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выпускников, выявление "группы риска", составление плана работы с данной группой;</w:t>
            </w:r>
          </w:p>
          <w:p w14:paraId="37D41193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-прохождение курсовой подготовки учителей по подготовке к ГИА, по ФГОС;</w:t>
            </w:r>
          </w:p>
          <w:p w14:paraId="5DB2F8CF" w14:textId="77777777" w:rsidR="00CD517D" w:rsidRDefault="00CD51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4786" w:type="dxa"/>
          </w:tcPr>
          <w:p w14:paraId="3600172F" w14:textId="77777777" w:rsidR="00CD517D" w:rsidRDefault="005C5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Слабые стороны</w:t>
            </w:r>
          </w:p>
          <w:p w14:paraId="3C8634D3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-низкая сформированность способности к самоанализу выполненной работы; </w:t>
            </w:r>
          </w:p>
          <w:p w14:paraId="03A558D3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 высокий уровень тестовой культуры выпускников – работа с бланками, каллиграфия; </w:t>
            </w:r>
          </w:p>
          <w:p w14:paraId="794D45C7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-затруднения при использовании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  </w:t>
            </w:r>
          </w:p>
          <w:p w14:paraId="247AED2A" w14:textId="77777777" w:rsidR="00CD517D" w:rsidRDefault="00CD51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D517D" w14:paraId="6DE594A7" w14:textId="77777777">
        <w:tc>
          <w:tcPr>
            <w:tcW w:w="4785" w:type="dxa"/>
          </w:tcPr>
          <w:p w14:paraId="7C824A7B" w14:textId="77777777" w:rsidR="00CD517D" w:rsidRDefault="005C5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Возможности</w:t>
            </w:r>
          </w:p>
          <w:p w14:paraId="2D704F3D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обеспечения неограниченного доступа к техническим средствам обучения и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lastRenderedPageBreak/>
              <w:t>организации учебного процесса;</w:t>
            </w:r>
          </w:p>
          <w:p w14:paraId="489CA90E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-осуществление контроля и своевременного информирования родителей о проблемах в обучении;</w:t>
            </w:r>
          </w:p>
          <w:p w14:paraId="3D0E6C62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-обеспечения системной подготовки к государственной итоговой аттестации.</w:t>
            </w:r>
          </w:p>
          <w:p w14:paraId="6D60AD76" w14:textId="77777777" w:rsidR="00CD517D" w:rsidRDefault="00CD51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86" w:type="dxa"/>
          </w:tcPr>
          <w:p w14:paraId="30EB7B1C" w14:textId="77777777" w:rsidR="00CD517D" w:rsidRDefault="005C5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lastRenderedPageBreak/>
              <w:t>Угрозы</w:t>
            </w:r>
          </w:p>
          <w:p w14:paraId="54DEA2BC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снижение процента успеваемости и качества государственной итоговой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lastRenderedPageBreak/>
              <w:t>аттестации по математике и русскому языку;</w:t>
            </w:r>
          </w:p>
          <w:p w14:paraId="7C15DDA9" w14:textId="77777777" w:rsidR="00CD517D" w:rsidRDefault="005C5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-не прохождение государственной аттестации по предметам по выбору в связи с увеличением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количества  сдаваемых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предметов до 4-х и возможности пересдачи не более 2-х предметов, включая обязательные (русский язык и математику).</w:t>
            </w:r>
          </w:p>
        </w:tc>
      </w:tr>
    </w:tbl>
    <w:p w14:paraId="1B84B90A" w14:textId="77777777" w:rsidR="00CD517D" w:rsidRDefault="005C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Рекомендуется:</w:t>
      </w:r>
    </w:p>
    <w:p w14:paraId="4DBB7D8A" w14:textId="77777777" w:rsidR="00CD517D" w:rsidRDefault="005C5EA7">
      <w:pPr>
        <w:pStyle w:val="1"/>
        <w:jc w:val="both"/>
        <w:rPr>
          <w:szCs w:val="24"/>
        </w:rPr>
      </w:pPr>
      <w:r>
        <w:rPr>
          <w:szCs w:val="24"/>
        </w:rPr>
        <w:t>1. Вести систематическую работу по анализу качества и результатов обучения учащихся   по изучению реальных учебных возможностей школьников с целью оптимизации учебно-воспитательного процесса.</w:t>
      </w:r>
    </w:p>
    <w:p w14:paraId="2CCBE6DC" w14:textId="77777777" w:rsidR="00CD517D" w:rsidRDefault="005C5EA7">
      <w:pPr>
        <w:pStyle w:val="1"/>
        <w:jc w:val="both"/>
      </w:pPr>
      <w:r>
        <w:t>2.Совершенствовать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14:paraId="25644397" w14:textId="77777777" w:rsidR="00CD517D" w:rsidRDefault="005C5EA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ШМО обсудить вопрос о причинах несоответствия годовых и экзаменационных отметок с целью корректировки критериев их выставления. </w:t>
      </w:r>
    </w:p>
    <w:p w14:paraId="1281BE24" w14:textId="77777777" w:rsidR="00CD517D" w:rsidRDefault="005C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4.Совершенствовать систему занятий по подготовке к экзаменам по всем предметам, особое внимание обратить на подготовку выпускников по предметам география, биология, история.</w:t>
      </w:r>
    </w:p>
    <w:p w14:paraId="16682D18" w14:textId="77777777" w:rsidR="00CD517D" w:rsidRDefault="00CD517D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14:paraId="3596A62B" w14:textId="77777777" w:rsidR="00CD517D" w:rsidRDefault="00CD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19F27" w14:textId="77777777" w:rsidR="00CD517D" w:rsidRDefault="005C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 форме единого государственного экзамена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ЕГЭ) выпускников  11-х классов за  2021-2022, 2022-2023, 2023-2024 учебные годы.</w:t>
      </w:r>
    </w:p>
    <w:p w14:paraId="74F38BB5" w14:textId="77777777" w:rsidR="00CD517D" w:rsidRDefault="005C5EA7">
      <w:pPr>
        <w:pStyle w:val="a8"/>
        <w:spacing w:before="0" w:beforeAutospacing="0" w:after="0" w:afterAutospacing="0"/>
        <w:ind w:firstLine="648"/>
        <w:jc w:val="both"/>
      </w:pPr>
      <w:r>
        <w:t xml:space="preserve"> Все выпускники были допущены к государственной итоговой аттестации и получили аттестат о </w:t>
      </w:r>
      <w:proofErr w:type="gramStart"/>
      <w:r>
        <w:t>среднем  общем</w:t>
      </w:r>
      <w:proofErr w:type="gramEnd"/>
      <w:r>
        <w:t xml:space="preserve">  образовании. </w:t>
      </w:r>
    </w:p>
    <w:p w14:paraId="3E43985D" w14:textId="77777777" w:rsidR="00CD517D" w:rsidRDefault="005C5EA7">
      <w:pPr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выпускники 11-х классов получили «зачет» по итоговому сочинению(изложению</w:t>
      </w:r>
      <w:proofErr w:type="gramStart"/>
      <w:r>
        <w:rPr>
          <w:rFonts w:ascii="Times New Roman" w:hAnsi="Times New Roman"/>
          <w:sz w:val="24"/>
          <w:szCs w:val="24"/>
        </w:rPr>
        <w:t>),  и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допущены к государственной итоговой аттестации.</w:t>
      </w:r>
    </w:p>
    <w:p w14:paraId="4238FA22" w14:textId="77777777" w:rsidR="00CD517D" w:rsidRDefault="005C5EA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EE0B5BB" w14:textId="77777777" w:rsidR="00CD517D" w:rsidRDefault="005C5EA7">
      <w:pPr>
        <w:spacing w:before="60" w:after="75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результатов ЕГЭ по основным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11-х классах за три года.</w:t>
      </w: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417"/>
        <w:gridCol w:w="1276"/>
        <w:gridCol w:w="1276"/>
        <w:gridCol w:w="1275"/>
        <w:gridCol w:w="1525"/>
      </w:tblGrid>
      <w:tr w:rsidR="00CD517D" w14:paraId="7C21D37B" w14:textId="77777777">
        <w:tc>
          <w:tcPr>
            <w:tcW w:w="1418" w:type="dxa"/>
          </w:tcPr>
          <w:p w14:paraId="2DA8966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shd w:val="clear" w:color="auto" w:fill="EAF1DD" w:themeFill="accent3" w:themeFillTint="33"/>
          </w:tcPr>
          <w:p w14:paraId="379FEF73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  <w:gridSpan w:val="3"/>
            <w:shd w:val="clear" w:color="auto" w:fill="EAF1DD" w:themeFill="accent3" w:themeFillTint="33"/>
          </w:tcPr>
          <w:p w14:paraId="0DB1E16D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D517D" w14:paraId="2C0CCC57" w14:textId="77777777">
        <w:tc>
          <w:tcPr>
            <w:tcW w:w="1418" w:type="dxa"/>
          </w:tcPr>
          <w:p w14:paraId="38BB216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DFE234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14:paraId="199CE624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14:paraId="3335AA2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14:paraId="2CCD610D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</w:tcPr>
          <w:p w14:paraId="5E11031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25" w:type="dxa"/>
          </w:tcPr>
          <w:p w14:paraId="4DB1761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D517D" w14:paraId="7270058F" w14:textId="77777777">
        <w:tc>
          <w:tcPr>
            <w:tcW w:w="1418" w:type="dxa"/>
          </w:tcPr>
          <w:p w14:paraId="0207F9F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84" w:type="dxa"/>
          </w:tcPr>
          <w:p w14:paraId="070DB38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AD155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98106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76B2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56A08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55A40A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17D" w14:paraId="1CF6C24D" w14:textId="77777777">
        <w:tc>
          <w:tcPr>
            <w:tcW w:w="1418" w:type="dxa"/>
          </w:tcPr>
          <w:p w14:paraId="4E92418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1384" w:type="dxa"/>
          </w:tcPr>
          <w:p w14:paraId="5BE988C6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109D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45FB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9CA8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0C447C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9AC2AE7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3DC19C63" w14:textId="77777777">
        <w:tc>
          <w:tcPr>
            <w:tcW w:w="1418" w:type="dxa"/>
          </w:tcPr>
          <w:p w14:paraId="4188CA68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37C9C7BB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002381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EEC25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9630F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FE05DCC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D7B498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77851E36" w14:textId="77777777">
        <w:tc>
          <w:tcPr>
            <w:tcW w:w="1418" w:type="dxa"/>
          </w:tcPr>
          <w:p w14:paraId="47994699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5E36441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2DFA88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24D3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6A0E74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B94431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E79F3A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17D" w14:paraId="157A7E90" w14:textId="77777777">
        <w:tc>
          <w:tcPr>
            <w:tcW w:w="1418" w:type="dxa"/>
          </w:tcPr>
          <w:p w14:paraId="48E507EF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156E41A8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977B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D35FD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E11385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AC1F8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7424C6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318D1929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17561E0D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DCB93F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F944B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CF4C8C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B865A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21C7B6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4F76290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37C30278" w14:textId="77777777">
        <w:tc>
          <w:tcPr>
            <w:tcW w:w="1418" w:type="dxa"/>
            <w:shd w:val="clear" w:color="auto" w:fill="EAF1DD" w:themeFill="accent3" w:themeFillTint="33"/>
          </w:tcPr>
          <w:p w14:paraId="0D0B147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84" w:type="dxa"/>
            <w:shd w:val="clear" w:color="auto" w:fill="EAF1DD" w:themeFill="accent3" w:themeFillTint="33"/>
          </w:tcPr>
          <w:p w14:paraId="7D1DA3A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751CFA6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3BEA05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31B58D1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7B2B30F3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14:paraId="4301D13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4F427BE0" w14:textId="77777777" w:rsidR="00CD517D" w:rsidRDefault="00CD517D">
      <w:pPr>
        <w:spacing w:before="60" w:after="75"/>
        <w:jc w:val="both"/>
        <w:rPr>
          <w:rFonts w:ascii="Times New Roman" w:hAnsi="Times New Roman" w:cs="Times New Roman"/>
          <w:sz w:val="24"/>
          <w:szCs w:val="24"/>
        </w:rPr>
      </w:pPr>
    </w:p>
    <w:p w14:paraId="449728C0" w14:textId="77777777" w:rsidR="00CD517D" w:rsidRDefault="00CD517D">
      <w:pPr>
        <w:spacing w:before="60" w:after="75"/>
        <w:jc w:val="both"/>
        <w:rPr>
          <w:rFonts w:ascii="Times New Roman" w:hAnsi="Times New Roman" w:cs="Times New Roman"/>
          <w:sz w:val="24"/>
          <w:szCs w:val="24"/>
        </w:rPr>
      </w:pPr>
    </w:p>
    <w:p w14:paraId="7603288F" w14:textId="77777777" w:rsidR="00CD517D" w:rsidRDefault="005C5EA7">
      <w:pPr>
        <w:spacing w:before="60" w:after="75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результатов ЕГЭ по выборным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11-х классах за три года.</w:t>
      </w: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60"/>
        <w:gridCol w:w="1332"/>
        <w:gridCol w:w="1452"/>
        <w:gridCol w:w="1416"/>
        <w:gridCol w:w="1248"/>
        <w:gridCol w:w="1245"/>
      </w:tblGrid>
      <w:tr w:rsidR="00CD517D" w14:paraId="68A99B88" w14:textId="77777777">
        <w:tc>
          <w:tcPr>
            <w:tcW w:w="1418" w:type="dxa"/>
          </w:tcPr>
          <w:p w14:paraId="7237FBD8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shd w:val="clear" w:color="auto" w:fill="EAF1DD" w:themeFill="accent3" w:themeFillTint="33"/>
          </w:tcPr>
          <w:p w14:paraId="68C57E15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9" w:type="dxa"/>
            <w:gridSpan w:val="3"/>
            <w:shd w:val="clear" w:color="auto" w:fill="EAF1DD" w:themeFill="accent3" w:themeFillTint="33"/>
          </w:tcPr>
          <w:p w14:paraId="7B82EC21" w14:textId="77777777" w:rsidR="00CD517D" w:rsidRDefault="005C5EA7">
            <w:pPr>
              <w:spacing w:before="60" w:after="75"/>
              <w:ind w:firstLineChars="500" w:firstLine="1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CD517D" w14:paraId="5774A700" w14:textId="77777777">
        <w:tc>
          <w:tcPr>
            <w:tcW w:w="1418" w:type="dxa"/>
          </w:tcPr>
          <w:p w14:paraId="4DC09FD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1C03F4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32" w:type="dxa"/>
          </w:tcPr>
          <w:p w14:paraId="7749BBD9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52" w:type="dxa"/>
          </w:tcPr>
          <w:p w14:paraId="62B8614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6" w:type="dxa"/>
          </w:tcPr>
          <w:p w14:paraId="5679AF59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48" w:type="dxa"/>
          </w:tcPr>
          <w:p w14:paraId="1548C42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45" w:type="dxa"/>
          </w:tcPr>
          <w:p w14:paraId="23999EF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D517D" w14:paraId="3AED7D45" w14:textId="77777777">
        <w:tc>
          <w:tcPr>
            <w:tcW w:w="1418" w:type="dxa"/>
          </w:tcPr>
          <w:p w14:paraId="31377E19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60" w:type="dxa"/>
          </w:tcPr>
          <w:p w14:paraId="38ED496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02265A8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14:paraId="146B998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7EEE8C04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14:paraId="207E6579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2C079BB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3E78B7E4" w14:textId="77777777">
        <w:tc>
          <w:tcPr>
            <w:tcW w:w="1418" w:type="dxa"/>
          </w:tcPr>
          <w:p w14:paraId="43EB85F9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1460" w:type="dxa"/>
          </w:tcPr>
          <w:p w14:paraId="3D7F8D5B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15EA51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14:paraId="06F1273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C7984F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CEE4BA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CD9E6D1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04C687C0" w14:textId="77777777">
        <w:tc>
          <w:tcPr>
            <w:tcW w:w="1418" w:type="dxa"/>
          </w:tcPr>
          <w:p w14:paraId="3833891C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14:paraId="2C1FC480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9C2275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14:paraId="086CCB7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50C756C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14:paraId="0A59A88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2CA30368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6C340D63" w14:textId="77777777">
        <w:tc>
          <w:tcPr>
            <w:tcW w:w="1418" w:type="dxa"/>
          </w:tcPr>
          <w:p w14:paraId="4F52717E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14:paraId="28D8D71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1BFC7C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14:paraId="555ECE0A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311345CD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14:paraId="4B69A01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2E2F6B4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17D" w14:paraId="1DF11A8B" w14:textId="77777777">
        <w:tc>
          <w:tcPr>
            <w:tcW w:w="1418" w:type="dxa"/>
          </w:tcPr>
          <w:p w14:paraId="23F27372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14:paraId="2743A63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694C88F5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82F1E4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02AA877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14:paraId="631C37C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4C957D34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574AAE75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45941A7E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DC91F0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7B72AE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8F69D7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803B020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5088A9E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5EB8499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2E962F90" w14:textId="77777777">
        <w:tc>
          <w:tcPr>
            <w:tcW w:w="1418" w:type="dxa"/>
            <w:shd w:val="clear" w:color="auto" w:fill="EAF1DD" w:themeFill="accent3" w:themeFillTint="33"/>
          </w:tcPr>
          <w:p w14:paraId="6713A64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60" w:type="dxa"/>
            <w:shd w:val="clear" w:color="auto" w:fill="EAF1DD" w:themeFill="accent3" w:themeFillTint="33"/>
          </w:tcPr>
          <w:p w14:paraId="77DEE19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shd w:val="clear" w:color="auto" w:fill="EAF1DD" w:themeFill="accent3" w:themeFillTint="33"/>
          </w:tcPr>
          <w:p w14:paraId="3C8111A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  <w:shd w:val="clear" w:color="auto" w:fill="EAF1DD" w:themeFill="accent3" w:themeFillTint="33"/>
          </w:tcPr>
          <w:p w14:paraId="3E8E3B1C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17E710B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shd w:val="clear" w:color="auto" w:fill="EAF1DD" w:themeFill="accent3" w:themeFillTint="33"/>
          </w:tcPr>
          <w:p w14:paraId="1AC3A4F7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EAF1DD" w:themeFill="accent3" w:themeFillTint="33"/>
          </w:tcPr>
          <w:p w14:paraId="5E9C55D8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2AB76F6" w14:textId="77777777" w:rsidR="00CD517D" w:rsidRDefault="00CD517D">
      <w:pPr>
        <w:spacing w:before="60" w:after="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417"/>
        <w:gridCol w:w="1276"/>
        <w:gridCol w:w="1276"/>
        <w:gridCol w:w="1275"/>
        <w:gridCol w:w="1525"/>
      </w:tblGrid>
      <w:tr w:rsidR="00CD517D" w14:paraId="7A3D065A" w14:textId="77777777">
        <w:tc>
          <w:tcPr>
            <w:tcW w:w="1418" w:type="dxa"/>
          </w:tcPr>
          <w:p w14:paraId="16FF986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shd w:val="clear" w:color="auto" w:fill="EAF1DD" w:themeFill="accent3" w:themeFillTint="33"/>
          </w:tcPr>
          <w:p w14:paraId="66877E5D" w14:textId="77777777" w:rsidR="00CD517D" w:rsidRDefault="005C5EA7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  <w:gridSpan w:val="3"/>
            <w:shd w:val="clear" w:color="auto" w:fill="EAF1DD" w:themeFill="accent3" w:themeFillTint="33"/>
          </w:tcPr>
          <w:p w14:paraId="77079DC8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10AD28F0" w14:textId="77777777">
        <w:tc>
          <w:tcPr>
            <w:tcW w:w="1418" w:type="dxa"/>
          </w:tcPr>
          <w:p w14:paraId="12299EEA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1C21FF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14:paraId="6F523AD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14:paraId="40A78B8A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113B5" w14:textId="77777777" w:rsidR="00CD517D" w:rsidRDefault="00CD517D">
            <w:pPr>
              <w:spacing w:before="60"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DFA25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7F22CCB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2547EB94" w14:textId="77777777">
        <w:tc>
          <w:tcPr>
            <w:tcW w:w="1418" w:type="dxa"/>
          </w:tcPr>
          <w:p w14:paraId="5E0833B6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84" w:type="dxa"/>
          </w:tcPr>
          <w:p w14:paraId="7BB4B39E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5BA0D1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56BD5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6B886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91C71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90ACF5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092A8A09" w14:textId="77777777">
        <w:tc>
          <w:tcPr>
            <w:tcW w:w="1418" w:type="dxa"/>
          </w:tcPr>
          <w:p w14:paraId="5325458F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1384" w:type="dxa"/>
          </w:tcPr>
          <w:p w14:paraId="57EA730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4B21CA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C2B35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26E8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684C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9FF94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57929B76" w14:textId="77777777">
        <w:tc>
          <w:tcPr>
            <w:tcW w:w="1418" w:type="dxa"/>
          </w:tcPr>
          <w:p w14:paraId="3FFE3723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16961894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99799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9740B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658AF6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90C55A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7EFDA32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59D10639" w14:textId="77777777">
        <w:tc>
          <w:tcPr>
            <w:tcW w:w="1418" w:type="dxa"/>
          </w:tcPr>
          <w:p w14:paraId="2E62DBE7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19B0530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2B4D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1657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F592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AB3668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531172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06A470C1" w14:textId="77777777">
        <w:tc>
          <w:tcPr>
            <w:tcW w:w="1418" w:type="dxa"/>
          </w:tcPr>
          <w:p w14:paraId="42E8A14F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1811D0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447543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3306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5C26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B0CC6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9F62F7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07E5FD75" w14:textId="77777777">
        <w:tc>
          <w:tcPr>
            <w:tcW w:w="1418" w:type="dxa"/>
            <w:tcBorders>
              <w:bottom w:val="single" w:sz="4" w:space="0" w:color="auto"/>
            </w:tcBorders>
          </w:tcPr>
          <w:p w14:paraId="6D86597A" w14:textId="77777777" w:rsidR="00CD517D" w:rsidRDefault="005C5EA7">
            <w:pPr>
              <w:spacing w:before="60" w:after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6239475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031F27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CEDC0E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DCEA77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1BA7DB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003411F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D" w14:paraId="0C173D78" w14:textId="77777777">
        <w:tc>
          <w:tcPr>
            <w:tcW w:w="1418" w:type="dxa"/>
            <w:shd w:val="clear" w:color="auto" w:fill="EAF1DD" w:themeFill="accent3" w:themeFillTint="33"/>
          </w:tcPr>
          <w:p w14:paraId="1D393804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84" w:type="dxa"/>
            <w:shd w:val="clear" w:color="auto" w:fill="EAF1DD" w:themeFill="accent3" w:themeFillTint="33"/>
          </w:tcPr>
          <w:p w14:paraId="3726A202" w14:textId="77777777" w:rsidR="00CD517D" w:rsidRDefault="005C5EA7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6021F52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1C7A002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2522C58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57BE79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EAF1DD" w:themeFill="accent3" w:themeFillTint="33"/>
          </w:tcPr>
          <w:p w14:paraId="4D713BFD" w14:textId="77777777" w:rsidR="00CD517D" w:rsidRDefault="00CD517D">
            <w:pPr>
              <w:spacing w:before="60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DCEED" w14:textId="77777777" w:rsidR="00CD517D" w:rsidRDefault="00CD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84BFE" w14:textId="77777777" w:rsidR="00CD517D" w:rsidRDefault="005C5EA7">
      <w:pPr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280658" w14:textId="77777777" w:rsidR="00CD517D" w:rsidRDefault="005C5EA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40884B37" w14:textId="77777777" w:rsidR="00CD517D" w:rsidRDefault="005C5E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Качество знаний учащихся 11-х классов соответствует государственным образовательным стандартам.</w:t>
      </w:r>
    </w:p>
    <w:p w14:paraId="47BA5060" w14:textId="77777777" w:rsidR="00CD517D" w:rsidRDefault="005C5E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2.Государственная итоговая аттестация прошла удовлетворительно.</w:t>
      </w:r>
    </w:p>
    <w:p w14:paraId="51AA5315" w14:textId="77777777" w:rsidR="00CD517D" w:rsidRDefault="005C5E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3.Достигнуты успехи в освоении отдельных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предметов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позволило получить100% сдачу этих предметов в форме ЕГЭ</w:t>
      </w:r>
    </w:p>
    <w:p w14:paraId="0E422F2A" w14:textId="77777777" w:rsidR="00CD517D" w:rsidRDefault="00CD51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180C44" w14:textId="77777777" w:rsidR="00CD517D" w:rsidRDefault="005C5EA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>
        <w:rPr>
          <w:rFonts w:ascii="Times New Roman" w:hAnsi="Times New Roman" w:cs="Times New Roman"/>
          <w:b/>
          <w:bCs/>
          <w:sz w:val="24"/>
          <w:szCs w:val="24"/>
        </w:rPr>
        <w:t>-анализ государственной итоговой аттестации среднего общего образования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17D" w14:paraId="18B4275D" w14:textId="77777777">
        <w:trPr>
          <w:trHeight w:val="3529"/>
        </w:trPr>
        <w:tc>
          <w:tcPr>
            <w:tcW w:w="4785" w:type="dxa"/>
          </w:tcPr>
          <w:p w14:paraId="619B5468" w14:textId="77777777" w:rsidR="00CD517D" w:rsidRDefault="005C5E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Сильные стороны</w:t>
            </w:r>
          </w:p>
          <w:p w14:paraId="1F021378" w14:textId="77777777" w:rsidR="00CD517D" w:rsidRDefault="005C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математики имеют хорошую методическую и дидактическую базу;</w:t>
            </w:r>
          </w:p>
          <w:p w14:paraId="2DB19579" w14:textId="77777777" w:rsidR="00CD517D" w:rsidRDefault="005C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-стабильный коллектив учителей-предметников, заинтересованных в успехах своих учеников;</w:t>
            </w:r>
          </w:p>
          <w:p w14:paraId="10C00340" w14:textId="77777777" w:rsidR="00CD517D" w:rsidRDefault="005C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-хорошее материально-техническое обеспечение учебного процесса;</w:t>
            </w:r>
          </w:p>
          <w:p w14:paraId="31495BE2" w14:textId="77777777" w:rsidR="00CD517D" w:rsidRDefault="005C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участие учителей в проверках в качестве экспертов региональных предметных комиссий</w:t>
            </w:r>
          </w:p>
        </w:tc>
        <w:tc>
          <w:tcPr>
            <w:tcW w:w="4786" w:type="dxa"/>
          </w:tcPr>
          <w:p w14:paraId="6656B854" w14:textId="77777777" w:rsidR="00CD517D" w:rsidRDefault="005C5E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Слабые стороны</w:t>
            </w:r>
          </w:p>
          <w:p w14:paraId="27EA5671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работы по индивидуализации и дифференциации обучения учащихся, особенно по предметам по выбору;</w:t>
            </w:r>
          </w:p>
          <w:p w14:paraId="6403046A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положительной динамики среднего балла ЕГЭ по некоторым предметам по выбору; </w:t>
            </w:r>
          </w:p>
          <w:p w14:paraId="62CD4EC4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-низкий уровень мотивации к получению знаний у отдельных обучающихся; </w:t>
            </w:r>
          </w:p>
          <w:p w14:paraId="7953A37F" w14:textId="77777777" w:rsidR="00CD517D" w:rsidRDefault="00CD517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517D" w14:paraId="021A2530" w14:textId="77777777">
        <w:tc>
          <w:tcPr>
            <w:tcW w:w="4785" w:type="dxa"/>
          </w:tcPr>
          <w:p w14:paraId="5256E7BC" w14:textId="77777777" w:rsidR="00CD517D" w:rsidRDefault="005C5E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Возможности </w:t>
            </w:r>
          </w:p>
          <w:p w14:paraId="6B05060A" w14:textId="77777777" w:rsidR="00CD517D" w:rsidRDefault="005C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100% прохождение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минимального порога по математике и русскому языку;</w:t>
            </w:r>
          </w:p>
          <w:p w14:paraId="3AC5994E" w14:textId="77777777" w:rsidR="00CD517D" w:rsidRDefault="005C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средний балл по русскому языку и математике профильного уровня;</w:t>
            </w:r>
          </w:p>
          <w:p w14:paraId="49971FED" w14:textId="77777777" w:rsidR="00CD517D" w:rsidRDefault="00CD517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45B091BA" w14:textId="77777777" w:rsidR="00CD517D" w:rsidRDefault="005C5E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Угрозы</w:t>
            </w:r>
          </w:p>
          <w:p w14:paraId="21D3631D" w14:textId="77777777" w:rsidR="00CD517D" w:rsidRDefault="005C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выпускников навыков умения четко следовать инструкции;</w:t>
            </w:r>
          </w:p>
          <w:p w14:paraId="458E2182" w14:textId="77777777" w:rsidR="00CD517D" w:rsidRDefault="005C5E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-неумение игнорировать избыточную информацию;</w:t>
            </w:r>
          </w:p>
          <w:p w14:paraId="78A8471F" w14:textId="77777777" w:rsidR="00CD517D" w:rsidRDefault="005C5E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-нестандартная ситуация проведения экзаменов может привести к стрессу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BD7ABA" w14:textId="77777777" w:rsidR="00CD517D" w:rsidRDefault="00CD517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0116054" w14:textId="77777777" w:rsidR="00CD517D" w:rsidRDefault="00CD517D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5A951B4" w14:textId="77777777" w:rsidR="00CD517D" w:rsidRDefault="00CD517D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BB05967" w14:textId="77777777" w:rsidR="00CD517D" w:rsidRDefault="00CD517D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762BDBA" w14:textId="77777777" w:rsidR="00CD517D" w:rsidRDefault="00CD517D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2156568" w14:textId="77777777" w:rsidR="00CD517D" w:rsidRDefault="005C5EA7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проводится работа учителей-предметников и классных руководителей с выпускниками, их родителями по вопросам выбора предметов и подготовки к их сдаче.</w:t>
      </w:r>
    </w:p>
    <w:p w14:paraId="69E022A4" w14:textId="77777777" w:rsidR="00CD517D" w:rsidRDefault="00CD5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DE1F1" w14:textId="77777777" w:rsidR="00CD517D" w:rsidRDefault="005C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ежегодно повышался показатель тестового балла ЕГЭ по предметам нужно пересмотреть отношение учителя-предметника к:</w:t>
      </w:r>
    </w:p>
    <w:p w14:paraId="01F1B7C4" w14:textId="77777777" w:rsidR="00CD517D" w:rsidRDefault="005C5EA7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подходу в обучении,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ориентированному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«среднего» ученика;</w:t>
      </w:r>
    </w:p>
    <w:p w14:paraId="31238C2E" w14:textId="77777777" w:rsidR="00CD517D" w:rsidRDefault="005C5EA7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уровню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индивидуализации и дифференциации обучения;</w:t>
      </w:r>
    </w:p>
    <w:p w14:paraId="3BC5A079" w14:textId="77777777" w:rsidR="00CD517D" w:rsidRDefault="005C5EA7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необходимости отслеживания и анализа результатов усвоения материала учащимися.</w:t>
      </w:r>
    </w:p>
    <w:p w14:paraId="27AA11AF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проанализировать (и необходимо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сделать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ШМО)  процент учащихся, выполнивших то или иное задание теста, из той или иной темы. Тестовая форма контроля удобна,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дает  возможности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учителю увидеть допущенные ошибки и устранить пробелы в знаниях учащихся. </w:t>
      </w:r>
    </w:p>
    <w:p w14:paraId="4275243E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школы, педагогам необходимо обратить внимание на более осознанный выбор предметов выпускниками для итоговой аттестации, которые действительно необходимы выпускнику для поступления в то или иное учебное заведение, а не используются как запасной вариант.  И для выпускников, сделавших выбор, необходимо объединить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года, консультации для учащихся, педагогов, родителей. Работа в данном направлении должна иметь системный характер. </w:t>
      </w:r>
    </w:p>
    <w:p w14:paraId="22FC24CF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государственной итоговой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  позволяет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определить следующие ключевые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 на новый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1CDB36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совершенствовать методологии и подходы к отбору содержания, методов и форм организации образовательного процесса;  </w:t>
      </w:r>
    </w:p>
    <w:p w14:paraId="7412816D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использование компьютерных форм контроля и оценки качества образования, уровня знаний обучающихся; </w:t>
      </w:r>
    </w:p>
    <w:p w14:paraId="04FC3880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14:paraId="5B102A64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 </w:t>
      </w:r>
    </w:p>
    <w:p w14:paraId="16371865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осуществить корректировку рабочих программ учебных предметов с учётом результатов ЕГЭ;  </w:t>
      </w:r>
    </w:p>
    <w:p w14:paraId="5AAF9AE7" w14:textId="77777777" w:rsidR="00CD517D" w:rsidRDefault="005C5EA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работу по ранней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диагностике  востребованности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предметов по выбору на ЕГЭ.</w:t>
      </w:r>
    </w:p>
    <w:p w14:paraId="1DD6834F" w14:textId="77777777" w:rsidR="00CD517D" w:rsidRDefault="00CD517D">
      <w:pPr>
        <w:jc w:val="both"/>
        <w:rPr>
          <w:rFonts w:ascii="Times New Roman" w:hAnsi="Times New Roman" w:cs="TimesNewRomanPSMT"/>
          <w:sz w:val="24"/>
          <w:szCs w:val="24"/>
        </w:rPr>
      </w:pPr>
    </w:p>
    <w:p w14:paraId="49783D0C" w14:textId="77777777" w:rsidR="00CD517D" w:rsidRDefault="005C5EA7">
      <w:pPr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данного анализа можно сделать следующие выводы:  </w:t>
      </w:r>
    </w:p>
    <w:p w14:paraId="24CADCEA" w14:textId="77777777" w:rsidR="00CD517D" w:rsidRDefault="005C5EA7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Результаты государственной итоговой аттестации обучающихся 9-х классов и выпускников 11-х классов свидетельствуют о том, что оценка знаний стала более объективной. </w:t>
      </w:r>
    </w:p>
    <w:p w14:paraId="1589B189" w14:textId="77777777" w:rsidR="00CD517D" w:rsidRDefault="005C5EA7">
      <w:pPr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Необходимо продолжить работу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совершенствованию  системы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итоговой аттестации выпускников школы в форме ОГЭ, ЕГЭ через повышение информационной компетенции участников образовательного процесса.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5E6C94E8" w14:textId="77777777" w:rsidR="00CD517D" w:rsidRDefault="005C5EA7">
      <w:pPr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Одним из важных направлений в работе по подготовке к государственной итоговой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аттестации  является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14:paraId="069974B5" w14:textId="77777777" w:rsidR="00CD517D" w:rsidRDefault="005C5EA7">
      <w:pPr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Необходимо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совершенствовать  условия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ШМО.</w:t>
      </w:r>
    </w:p>
    <w:p w14:paraId="481EF0DC" w14:textId="77777777" w:rsidR="00CD517D" w:rsidRDefault="00CD517D"/>
    <w:p w14:paraId="660B0F19" w14:textId="77777777" w:rsidR="00CD517D" w:rsidRDefault="00CD517D"/>
    <w:p w14:paraId="514F107E" w14:textId="77777777" w:rsidR="00CD517D" w:rsidRDefault="00CD517D"/>
    <w:p w14:paraId="61388684" w14:textId="77777777" w:rsidR="00CD517D" w:rsidRDefault="00CD517D"/>
    <w:sectPr w:rsidR="00CD517D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99A6" w14:textId="77777777" w:rsidR="008F122F" w:rsidRDefault="008F122F">
      <w:r>
        <w:separator/>
      </w:r>
    </w:p>
  </w:endnote>
  <w:endnote w:type="continuationSeparator" w:id="0">
    <w:p w14:paraId="1659A21C" w14:textId="77777777" w:rsidR="008F122F" w:rsidRDefault="008F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D2CF" w14:textId="77777777" w:rsidR="008F122F" w:rsidRDefault="008F122F">
      <w:r>
        <w:separator/>
      </w:r>
    </w:p>
  </w:footnote>
  <w:footnote w:type="continuationSeparator" w:id="0">
    <w:p w14:paraId="6996E15A" w14:textId="77777777" w:rsidR="008F122F" w:rsidRDefault="008F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243D"/>
    <w:multiLevelType w:val="multilevel"/>
    <w:tmpl w:val="2964243D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Ansi="Courier New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47D"/>
    <w:rsid w:val="0001249B"/>
    <w:rsid w:val="0003019F"/>
    <w:rsid w:val="00054477"/>
    <w:rsid w:val="000735AF"/>
    <w:rsid w:val="000749C9"/>
    <w:rsid w:val="000C3C3F"/>
    <w:rsid w:val="000E41DF"/>
    <w:rsid w:val="00105260"/>
    <w:rsid w:val="001207D5"/>
    <w:rsid w:val="00124A12"/>
    <w:rsid w:val="00126951"/>
    <w:rsid w:val="00137700"/>
    <w:rsid w:val="00154382"/>
    <w:rsid w:val="001837B7"/>
    <w:rsid w:val="001E6D33"/>
    <w:rsid w:val="001F0C50"/>
    <w:rsid w:val="001F728A"/>
    <w:rsid w:val="00205672"/>
    <w:rsid w:val="002133E9"/>
    <w:rsid w:val="0022091F"/>
    <w:rsid w:val="002241CA"/>
    <w:rsid w:val="0024122E"/>
    <w:rsid w:val="002513AD"/>
    <w:rsid w:val="002542AE"/>
    <w:rsid w:val="00254527"/>
    <w:rsid w:val="002A3A63"/>
    <w:rsid w:val="002C7666"/>
    <w:rsid w:val="002C7CDD"/>
    <w:rsid w:val="002E4EF1"/>
    <w:rsid w:val="0033239E"/>
    <w:rsid w:val="00342332"/>
    <w:rsid w:val="00350513"/>
    <w:rsid w:val="003928ED"/>
    <w:rsid w:val="003E6995"/>
    <w:rsid w:val="00405066"/>
    <w:rsid w:val="00410F4E"/>
    <w:rsid w:val="00450852"/>
    <w:rsid w:val="004541F5"/>
    <w:rsid w:val="00455F40"/>
    <w:rsid w:val="00475450"/>
    <w:rsid w:val="00475836"/>
    <w:rsid w:val="0048363D"/>
    <w:rsid w:val="00483976"/>
    <w:rsid w:val="004A39FF"/>
    <w:rsid w:val="004C13CE"/>
    <w:rsid w:val="004E16BF"/>
    <w:rsid w:val="00501151"/>
    <w:rsid w:val="00525828"/>
    <w:rsid w:val="00584A49"/>
    <w:rsid w:val="005926B5"/>
    <w:rsid w:val="005C5EA7"/>
    <w:rsid w:val="005F6055"/>
    <w:rsid w:val="00611586"/>
    <w:rsid w:val="0061508F"/>
    <w:rsid w:val="00643173"/>
    <w:rsid w:val="00664C85"/>
    <w:rsid w:val="00667028"/>
    <w:rsid w:val="006715EF"/>
    <w:rsid w:val="00672CCE"/>
    <w:rsid w:val="006A247D"/>
    <w:rsid w:val="006B5987"/>
    <w:rsid w:val="006C4D50"/>
    <w:rsid w:val="006D0D36"/>
    <w:rsid w:val="006E0FFC"/>
    <w:rsid w:val="00712F01"/>
    <w:rsid w:val="00732627"/>
    <w:rsid w:val="00760F78"/>
    <w:rsid w:val="00763C98"/>
    <w:rsid w:val="00787662"/>
    <w:rsid w:val="007B11E7"/>
    <w:rsid w:val="007D57D4"/>
    <w:rsid w:val="00822536"/>
    <w:rsid w:val="00824E5D"/>
    <w:rsid w:val="00850B9B"/>
    <w:rsid w:val="00887277"/>
    <w:rsid w:val="008A2881"/>
    <w:rsid w:val="008B11D1"/>
    <w:rsid w:val="008C610F"/>
    <w:rsid w:val="008F122F"/>
    <w:rsid w:val="0090210C"/>
    <w:rsid w:val="00944E8E"/>
    <w:rsid w:val="009662B3"/>
    <w:rsid w:val="00982263"/>
    <w:rsid w:val="009D0C72"/>
    <w:rsid w:val="009E4218"/>
    <w:rsid w:val="00A02DAF"/>
    <w:rsid w:val="00A046BE"/>
    <w:rsid w:val="00A23255"/>
    <w:rsid w:val="00A23471"/>
    <w:rsid w:val="00A338B0"/>
    <w:rsid w:val="00AD197A"/>
    <w:rsid w:val="00AE3D47"/>
    <w:rsid w:val="00AF3BE8"/>
    <w:rsid w:val="00B21C8E"/>
    <w:rsid w:val="00B26E03"/>
    <w:rsid w:val="00B47A4C"/>
    <w:rsid w:val="00B933A6"/>
    <w:rsid w:val="00BA170F"/>
    <w:rsid w:val="00BA1BB8"/>
    <w:rsid w:val="00BA3C6C"/>
    <w:rsid w:val="00BB03D5"/>
    <w:rsid w:val="00BB7692"/>
    <w:rsid w:val="00BC52BE"/>
    <w:rsid w:val="00BD2C84"/>
    <w:rsid w:val="00BD36B7"/>
    <w:rsid w:val="00C000CF"/>
    <w:rsid w:val="00C10667"/>
    <w:rsid w:val="00C313BE"/>
    <w:rsid w:val="00C3406E"/>
    <w:rsid w:val="00C55ED5"/>
    <w:rsid w:val="00C83745"/>
    <w:rsid w:val="00CD0E87"/>
    <w:rsid w:val="00CD517D"/>
    <w:rsid w:val="00D3404E"/>
    <w:rsid w:val="00D371B5"/>
    <w:rsid w:val="00D4117E"/>
    <w:rsid w:val="00D66768"/>
    <w:rsid w:val="00DA7275"/>
    <w:rsid w:val="00DD78DC"/>
    <w:rsid w:val="00DF2A70"/>
    <w:rsid w:val="00E001E5"/>
    <w:rsid w:val="00E02B7B"/>
    <w:rsid w:val="00E46141"/>
    <w:rsid w:val="00E7188C"/>
    <w:rsid w:val="00E74BAB"/>
    <w:rsid w:val="00E873DC"/>
    <w:rsid w:val="00EA3700"/>
    <w:rsid w:val="00EB2F1D"/>
    <w:rsid w:val="00EB601F"/>
    <w:rsid w:val="00EC5815"/>
    <w:rsid w:val="00ED1D9B"/>
    <w:rsid w:val="00F01BED"/>
    <w:rsid w:val="00F114B0"/>
    <w:rsid w:val="00F12425"/>
    <w:rsid w:val="00F152A0"/>
    <w:rsid w:val="00F23C59"/>
    <w:rsid w:val="00F66CD4"/>
    <w:rsid w:val="00F7060F"/>
    <w:rsid w:val="00F7268B"/>
    <w:rsid w:val="00FB6938"/>
    <w:rsid w:val="00FD41F0"/>
    <w:rsid w:val="00FD6EFB"/>
    <w:rsid w:val="00FE5878"/>
    <w:rsid w:val="179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18E5"/>
  <w15:docId w15:val="{7E7C5F81-82B6-4920-912D-E5FA5ADA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qFormat/>
    <w:pPr>
      <w:widowControl/>
      <w:autoSpaceDE/>
      <w:autoSpaceDN/>
      <w:adjustRightInd/>
      <w:ind w:left="585"/>
    </w:pPr>
    <w:rPr>
      <w:rFonts w:ascii="Times New Roman" w:hAnsi="Times New Roman" w:cs="Times New Roman"/>
      <w:sz w:val="28"/>
      <w:szCs w:val="24"/>
    </w:rPr>
  </w:style>
  <w:style w:type="character" w:styleId="a7">
    <w:name w:val="Emphasis"/>
    <w:basedOn w:val="a0"/>
    <w:qFormat/>
    <w:rPr>
      <w:rFonts w:asciiTheme="minorHAnsi" w:hAnsiTheme="minorHAnsi"/>
      <w:b/>
      <w:i/>
      <w:iCs/>
    </w:rPr>
  </w:style>
  <w:style w:type="paragraph" w:styleId="a8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table" w:styleId="aa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Обычный1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ae">
    <w:name w:val="No Spacing"/>
    <w:basedOn w:val="a"/>
    <w:link w:val="af"/>
    <w:uiPriority w:val="1"/>
    <w:qFormat/>
    <w:pPr>
      <w:widowControl/>
      <w:autoSpaceDE/>
      <w:autoSpaceDN/>
      <w:adjustRightInd/>
    </w:pPr>
    <w:rPr>
      <w:rFonts w:ascii="Times New Roman" w:hAnsi="Times New Roman" w:cs="Times New Roman"/>
      <w:sz w:val="24"/>
      <w:szCs w:val="32"/>
    </w:rPr>
  </w:style>
  <w:style w:type="character" w:customStyle="1" w:styleId="af">
    <w:name w:val="Без интервала Знак"/>
    <w:basedOn w:val="a0"/>
    <w:link w:val="ae"/>
    <w:uiPriority w:val="1"/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17A1-3865-4D10-85C1-F8D75A2D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1990</Words>
  <Characters>11343</Characters>
  <Application>Microsoft Office Word</Application>
  <DocSecurity>0</DocSecurity>
  <Lines>94</Lines>
  <Paragraphs>26</Paragraphs>
  <ScaleCrop>false</ScaleCrop>
  <Company>Grizli777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4</cp:revision>
  <cp:lastPrinted>2024-11-15T09:29:00Z</cp:lastPrinted>
  <dcterms:created xsi:type="dcterms:W3CDTF">2018-09-21T11:17:00Z</dcterms:created>
  <dcterms:modified xsi:type="dcterms:W3CDTF">2024-11-20T09:58:00Z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4899781AC9EB4CD3B8DB5024631BA30C_13</vt:lpwstr>
  </property>
</Properties>
</file>